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rPr>
          <w:rFonts w:hint="eastAsia" w:ascii="黑体" w:hAnsi="黑体" w:eastAsia="黑体" w:cs="黑体"/>
          <w:color w:val="000000"/>
          <w:kern w:val="0"/>
          <w:sz w:val="32"/>
          <w:szCs w:val="32"/>
        </w:rPr>
      </w:pPr>
      <w:bookmarkStart w:id="0" w:name="_GoBack"/>
      <w:r>
        <w:rPr>
          <w:rFonts w:hint="eastAsia" w:ascii="黑体" w:hAnsi="黑体" w:eastAsia="黑体" w:cs="黑体"/>
          <w:color w:val="000000"/>
          <w:kern w:val="0"/>
          <w:sz w:val="32"/>
          <w:szCs w:val="32"/>
        </w:rPr>
        <w:t>附件</w:t>
      </w:r>
    </w:p>
    <w:bookmarkEnd w:id="0"/>
    <w:p>
      <w:pPr>
        <w:spacing w:line="500" w:lineRule="exact"/>
        <w:jc w:val="center"/>
        <w:rPr>
          <w:rFonts w:ascii="华文中宋" w:hAnsi="华文中宋" w:eastAsia="华文中宋" w:cs="华文中宋"/>
          <w:sz w:val="44"/>
          <w:szCs w:val="44"/>
        </w:rPr>
      </w:pPr>
      <w:r>
        <w:rPr>
          <w:rFonts w:hint="eastAsia" w:ascii="华文中宋" w:hAnsi="华文中宋" w:eastAsia="华文中宋" w:cs="华文中宋"/>
          <w:sz w:val="44"/>
          <w:szCs w:val="44"/>
        </w:rPr>
        <w:t>中央层面设定的涉企经营许可事项改革清单（应急管理系统部分）</w:t>
      </w:r>
    </w:p>
    <w:p>
      <w:pPr>
        <w:widowControl/>
        <w:spacing w:line="300" w:lineRule="exact"/>
        <w:jc w:val="center"/>
        <w:rPr>
          <w:rFonts w:asciiTheme="minorEastAsia" w:hAnsiTheme="minorEastAsia" w:eastAsiaTheme="minorEastAsia" w:cstheme="minorEastAsia"/>
          <w:color w:val="000000"/>
          <w:kern w:val="0"/>
        </w:rPr>
      </w:pPr>
    </w:p>
    <w:tbl>
      <w:tblPr>
        <w:tblStyle w:val="4"/>
        <w:tblW w:w="25242" w:type="dxa"/>
        <w:tblInd w:w="0" w:type="dxa"/>
        <w:tblLayout w:type="fixed"/>
        <w:tblCellMar>
          <w:top w:w="0" w:type="dxa"/>
          <w:left w:w="108" w:type="dxa"/>
          <w:bottom w:w="0" w:type="dxa"/>
          <w:right w:w="108" w:type="dxa"/>
        </w:tblCellMar>
      </w:tblPr>
      <w:tblGrid>
        <w:gridCol w:w="675"/>
        <w:gridCol w:w="694"/>
        <w:gridCol w:w="1203"/>
        <w:gridCol w:w="1109"/>
        <w:gridCol w:w="963"/>
        <w:gridCol w:w="993"/>
        <w:gridCol w:w="708"/>
        <w:gridCol w:w="769"/>
        <w:gridCol w:w="735"/>
        <w:gridCol w:w="778"/>
        <w:gridCol w:w="2538"/>
        <w:gridCol w:w="3584"/>
        <w:gridCol w:w="3791"/>
        <w:gridCol w:w="3351"/>
        <w:gridCol w:w="3351"/>
      </w:tblGrid>
      <w:tr>
        <w:tblPrEx>
          <w:tblCellMar>
            <w:top w:w="0" w:type="dxa"/>
            <w:left w:w="108" w:type="dxa"/>
            <w:bottom w:w="0" w:type="dxa"/>
            <w:right w:w="108" w:type="dxa"/>
          </w:tblCellMar>
        </w:tblPrEx>
        <w:trPr>
          <w:gridAfter w:val="3"/>
          <w:wAfter w:w="10493" w:type="dxa"/>
          <w:cantSplit/>
          <w:trHeight w:val="465" w:hRule="atLeast"/>
          <w:tblHeader/>
        </w:trPr>
        <w:tc>
          <w:tcPr>
            <w:tcW w:w="675"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序号</w:t>
            </w:r>
          </w:p>
        </w:tc>
        <w:tc>
          <w:tcPr>
            <w:tcW w:w="694"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主管部门</w:t>
            </w:r>
          </w:p>
        </w:tc>
        <w:tc>
          <w:tcPr>
            <w:tcW w:w="1203"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改革事项</w:t>
            </w:r>
          </w:p>
        </w:tc>
        <w:tc>
          <w:tcPr>
            <w:tcW w:w="1109"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许可证件名称</w:t>
            </w:r>
          </w:p>
        </w:tc>
        <w:tc>
          <w:tcPr>
            <w:tcW w:w="963"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设定依据</w:t>
            </w:r>
          </w:p>
        </w:tc>
        <w:tc>
          <w:tcPr>
            <w:tcW w:w="993"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审批层级和部门</w:t>
            </w:r>
          </w:p>
        </w:tc>
        <w:tc>
          <w:tcPr>
            <w:tcW w:w="2990"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改革方式</w:t>
            </w:r>
          </w:p>
        </w:tc>
        <w:tc>
          <w:tcPr>
            <w:tcW w:w="2538"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kern w:val="0"/>
              </w:rPr>
            </w:pPr>
            <w:r>
              <w:rPr>
                <w:rFonts w:hint="eastAsia" w:asciiTheme="minorEastAsia" w:hAnsiTheme="minorEastAsia" w:eastAsiaTheme="minorEastAsia" w:cstheme="minorEastAsia"/>
                <w:kern w:val="0"/>
              </w:rPr>
              <w:t>具体改革举措</w:t>
            </w:r>
          </w:p>
        </w:tc>
        <w:tc>
          <w:tcPr>
            <w:tcW w:w="3584" w:type="dxa"/>
            <w:vMerge w:val="restart"/>
            <w:tcBorders>
              <w:top w:val="single" w:color="auto" w:sz="4" w:space="0"/>
              <w:left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加强事中事后监管措施</w:t>
            </w:r>
          </w:p>
        </w:tc>
      </w:tr>
      <w:tr>
        <w:tblPrEx>
          <w:tblCellMar>
            <w:top w:w="0" w:type="dxa"/>
            <w:left w:w="108" w:type="dxa"/>
            <w:bottom w:w="0" w:type="dxa"/>
            <w:right w:w="108" w:type="dxa"/>
          </w:tblCellMar>
        </w:tblPrEx>
        <w:trPr>
          <w:gridAfter w:val="3"/>
          <w:wAfter w:w="10493" w:type="dxa"/>
          <w:cantSplit/>
          <w:trHeight w:val="456" w:hRule="atLeast"/>
          <w:tblHeader/>
        </w:trPr>
        <w:tc>
          <w:tcPr>
            <w:tcW w:w="675"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p>
        </w:tc>
        <w:tc>
          <w:tcPr>
            <w:tcW w:w="694"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p>
        </w:tc>
        <w:tc>
          <w:tcPr>
            <w:tcW w:w="1203"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p>
        </w:tc>
        <w:tc>
          <w:tcPr>
            <w:tcW w:w="1109"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p>
        </w:tc>
        <w:tc>
          <w:tcPr>
            <w:tcW w:w="963"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p>
        </w:tc>
        <w:tc>
          <w:tcPr>
            <w:tcW w:w="993"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直接取消审批</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审批改为备案</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实行告知承诺</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优化审批服务</w:t>
            </w:r>
          </w:p>
        </w:tc>
        <w:tc>
          <w:tcPr>
            <w:tcW w:w="2538"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kern w:val="0"/>
                <w:sz w:val="18"/>
                <w:szCs w:val="18"/>
              </w:rPr>
            </w:pPr>
          </w:p>
        </w:tc>
        <w:tc>
          <w:tcPr>
            <w:tcW w:w="3584"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cantSplit/>
          <w:trHeight w:val="2824"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海洋石油天然气企业安全生产许可</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安全生产许可证（非煤矿山）</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《安全生产许可证条例》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应急管理部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p>
        </w:tc>
        <w:tc>
          <w:tcPr>
            <w:tcW w:w="769" w:type="dxa"/>
            <w:tcBorders>
              <w:top w:val="single" w:color="auto" w:sz="4" w:space="0"/>
              <w:left w:val="nil"/>
              <w:bottom w:val="single" w:color="auto" w:sz="4" w:space="0"/>
              <w:right w:val="single" w:color="auto" w:sz="4" w:space="0"/>
            </w:tcBorders>
            <w:shd w:val="clear" w:color="000000" w:fill="FFFFFF"/>
            <w:vAlign w:val="center"/>
          </w:tcPr>
          <w:p>
            <w:pPr>
              <w:spacing w:line="300" w:lineRule="exact"/>
              <w:jc w:val="center"/>
              <w:rPr>
                <w:rFonts w:asciiTheme="minorEastAsia" w:hAnsiTheme="minorEastAsia" w:eastAsiaTheme="minorEastAsia" w:cstheme="minorEastAsia"/>
                <w:color w:val="000000"/>
                <w:kern w:val="0"/>
                <w:sz w:val="18"/>
                <w:szCs w:val="18"/>
              </w:rPr>
            </w:pPr>
          </w:p>
        </w:tc>
        <w:tc>
          <w:tcPr>
            <w:tcW w:w="735" w:type="dxa"/>
            <w:tcBorders>
              <w:top w:val="single" w:color="auto" w:sz="4" w:space="0"/>
              <w:left w:val="nil"/>
              <w:bottom w:val="single" w:color="auto" w:sz="4" w:space="0"/>
              <w:right w:val="single" w:color="auto" w:sz="4" w:space="0"/>
            </w:tcBorders>
            <w:shd w:val="clear" w:color="000000" w:fill="FFFFFF"/>
            <w:vAlign w:val="center"/>
          </w:tcPr>
          <w:p>
            <w:pPr>
              <w:spacing w:line="300" w:lineRule="exact"/>
              <w:jc w:val="center"/>
              <w:rPr>
                <w:rFonts w:asciiTheme="minorEastAsia" w:hAnsiTheme="minorEastAsia" w:eastAsiaTheme="minorEastAsia" w:cstheme="minorEastAsia"/>
                <w:color w:val="000000"/>
                <w:kern w:val="0"/>
                <w:sz w:val="18"/>
                <w:szCs w:val="18"/>
              </w:rPr>
            </w:pPr>
          </w:p>
        </w:tc>
        <w:tc>
          <w:tcPr>
            <w:tcW w:w="778" w:type="dxa"/>
            <w:tcBorders>
              <w:top w:val="single" w:color="auto" w:sz="4" w:space="0"/>
              <w:left w:val="nil"/>
              <w:bottom w:val="single" w:color="auto" w:sz="4" w:space="0"/>
              <w:right w:val="single" w:color="auto" w:sz="4" w:space="0"/>
            </w:tcBorders>
            <w:shd w:val="clear" w:color="000000" w:fill="FFFFFF"/>
            <w:vAlign w:val="center"/>
          </w:tcPr>
          <w:p>
            <w:pPr>
              <w:spacing w:line="30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1.实现申请、审批全程网上办理。2.不再要求申请人提交海洋石油特种设备合格检测报告并取得安全使用证或安全标志。</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强化海上石油生产设施设备的建造、安装、使用发证检验制度，指导第三方中介机构开展自律管理。2.压实企业安全生产主体责任，强化自身日常监督检查，及时查处违法违规行为。3.强化对从事海洋石油生产企业的安全监管，发现问题依法严肃查处。4.健全安全生产黑名单制度，对失信企业及其有关人员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3351" w:type="dxa"/>
            <w:vAlign w:val="center"/>
          </w:tcPr>
          <w:p>
            <w:pPr>
              <w:widowControl/>
              <w:spacing w:line="300" w:lineRule="exac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1.实现申请、审批全程网上办理。2.不再要求申请人提交海洋石油特种设备合格检测报告并取得安全使用证或安全标志。</w:t>
            </w:r>
          </w:p>
        </w:tc>
        <w:tc>
          <w:tcPr>
            <w:tcW w:w="3351" w:type="dxa"/>
            <w:vAlign w:val="center"/>
          </w:tcPr>
          <w:p>
            <w:pPr>
              <w:widowControl/>
              <w:spacing w:line="300" w:lineRule="exac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强化海上石油生产设施设备的建造、安装、使用发证检验制度，指导第三方中介机构开展自律管理。2.压实企业安全生产主体责任，强化自身日常监督检查，及时查处违法违规行为。3.强化对从事海洋石油生产企业的安全监管，发现问题依法严肃查处。4.健全安全生产黑名单制度，对失信企业及其有关人员开展失信惩戒。</w:t>
            </w:r>
          </w:p>
        </w:tc>
      </w:tr>
      <w:tr>
        <w:tblPrEx>
          <w:tblCellMar>
            <w:top w:w="0" w:type="dxa"/>
            <w:left w:w="108" w:type="dxa"/>
            <w:bottom w:w="0" w:type="dxa"/>
            <w:right w:w="108" w:type="dxa"/>
          </w:tblCellMar>
        </w:tblPrEx>
        <w:trPr>
          <w:cantSplit/>
          <w:trHeight w:val="2530"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   2</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安全生产检测检验机构资质认可</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安全生产检测检验机构资质证书</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《中华人民共和国安全生产法》</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省级应急管理部门、煤矿安全生产监管部门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不再将安全生产检测检验机构取得法定计量认证作为前置条件。2.推行法定代表人承诺、公司承诺管理，对申请材料真实性、固定资产等实行告知承诺。3.依托有关平台，提供统一信息查询服务，便于机构跨区域从业和属地监管。</w:t>
            </w:r>
            <w:r>
              <w:rPr>
                <w:rFonts w:hint="eastAsia" w:asciiTheme="minorEastAsia" w:hAnsiTheme="minorEastAsia" w:eastAsiaTheme="minorEastAsia" w:cstheme="minorEastAsia"/>
                <w:color w:val="000000" w:themeColor="text1"/>
                <w:kern w:val="0"/>
                <w:sz w:val="18"/>
                <w:szCs w:val="18"/>
              </w:rPr>
              <w:t>4.审批时限按照吉林省政府服务事项要求办理。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制定全国统一的机构资质认定标准和执法标准，明确监管管辖权，规范自由裁量权。2.开展“双随机、一公开”监管和信用监管，加强执法监督，依法依规对失信主体实行失信惩戒。3.加强对安全生产检测检验机构有关信息的共享和公开，接受社会监督。4.发挥行业组织自律作用，完善技术仲裁工作机制。</w:t>
            </w:r>
          </w:p>
        </w:tc>
        <w:tc>
          <w:tcPr>
            <w:tcW w:w="3791" w:type="dxa"/>
            <w:vAlign w:val="center"/>
          </w:tcPr>
          <w:p>
            <w:pPr>
              <w:widowControl/>
              <w:spacing w:line="300" w:lineRule="exact"/>
              <w:jc w:val="center"/>
              <w:rPr>
                <w:rFonts w:asciiTheme="minorEastAsia" w:hAnsiTheme="minorEastAsia" w:eastAsiaTheme="minorEastAsia" w:cstheme="minorEastAsia"/>
                <w:color w:val="000000"/>
                <w:kern w:val="0"/>
                <w:sz w:val="18"/>
                <w:szCs w:val="18"/>
              </w:rPr>
            </w:pPr>
          </w:p>
          <w:p>
            <w:pPr>
              <w:widowControl/>
              <w:spacing w:line="300" w:lineRule="exact"/>
              <w:jc w:val="center"/>
              <w:rPr>
                <w:rFonts w:asciiTheme="minorEastAsia" w:hAnsiTheme="minorEastAsia" w:eastAsiaTheme="minorEastAsia" w:cstheme="minorEastAsia"/>
                <w:color w:val="000000"/>
                <w:kern w:val="0"/>
                <w:sz w:val="18"/>
                <w:szCs w:val="18"/>
              </w:rPr>
            </w:pPr>
          </w:p>
          <w:p>
            <w:pPr>
              <w:widowControl/>
              <w:spacing w:line="300" w:lineRule="exact"/>
              <w:jc w:val="center"/>
              <w:rPr>
                <w:rFonts w:asciiTheme="minorEastAsia" w:hAnsiTheme="minorEastAsia" w:eastAsiaTheme="minorEastAsia" w:cstheme="minorEastAsia"/>
                <w:color w:val="000000"/>
                <w:kern w:val="0"/>
                <w:sz w:val="18"/>
                <w:szCs w:val="18"/>
              </w:rPr>
            </w:pPr>
          </w:p>
        </w:tc>
        <w:tc>
          <w:tcPr>
            <w:tcW w:w="3351" w:type="dxa"/>
            <w:vAlign w:val="center"/>
          </w:tcPr>
          <w:p>
            <w:pPr>
              <w:widowControl/>
              <w:spacing w:line="300" w:lineRule="exact"/>
              <w:rPr>
                <w:rFonts w:asciiTheme="minorEastAsia" w:hAnsiTheme="minorEastAsia" w:eastAsiaTheme="minorEastAsia" w:cstheme="minorEastAsia"/>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kern w:val="0"/>
                <w:sz w:val="18"/>
                <w:szCs w:val="18"/>
              </w:rPr>
            </w:pPr>
          </w:p>
        </w:tc>
      </w:tr>
      <w:tr>
        <w:tblPrEx>
          <w:tblCellMar>
            <w:top w:w="0" w:type="dxa"/>
            <w:left w:w="108" w:type="dxa"/>
            <w:bottom w:w="0" w:type="dxa"/>
            <w:right w:w="108" w:type="dxa"/>
          </w:tblCellMar>
        </w:tblPrEx>
        <w:trPr>
          <w:cantSplit/>
          <w:trHeight w:val="2695"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安全评价机构资质认可</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安全评价机构资质证书</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《中华人民共和国安全生产法》</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省级应急管理部门、煤矿安全生产监管部门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加快推动信息共享，不再要求申请人提供安全工程师等人员资格证明材料，实行联网查询。2.推行法定代表人承诺、公司承诺管理，对申请材料真实性、固定资产、办公面积等实行告知承诺。3.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健全安全评价机构审批工作制度，制定全国统一的机构资质认定标准和执法标准，明确监管管辖权，规范自由裁量权。2.开展“双随机、一公开”监管和信用监管，加强执法监督，依法依规对失信主体实行失信惩戒。3.加强对安全评价机构有关信息的共享和公开，接受社会监督。4.发挥行业组织自律作用，完善技术仲裁工作机制。</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319"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4</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烟花爆竹生产企业安全生产许可证核发</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烟花爆竹生产企业安全生产许可证</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《安全生产许可证条例》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省级应急管理部门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1.开展“双随机、一公开”监管，发现违法违规行为要依法严查重处并公开结果。2.加强信用监管，依法向社会公布烟花爆竹生产企业信用状况，依法依规对失信主体开展失信惩戒。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319"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5</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烟花爆竹经营（批发）许可证核发</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烟花爆竹经营（批发）许可证</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《烟花爆竹安全管理条例》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设区的市级应急管理部门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1.开展“双随机、一公开”监管，发现违法违规行为要依法严查重处并公开结果。2.加强信用监管，依法向社会公布烟花爆竹经营（批发）企业信用状况，依法依规对失信主体开展失信惩戒。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319"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6</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烟花爆竹经营（零售）许可证核发</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烟花爆竹经营（零售）许可证</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《烟花爆竹安全管理条例》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县级应急管理部门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1.开展“双随机、一公开”监管，发现违法违规行为要依法严查重处并公开结果。2.加强信用监管，依法向社会公布烟花爆竹经营（零售）企业信用状况，依法依规对失信主体开展失信惩戒。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319"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7</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第一类非药品类易制毒化学品生产许可证核发</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第一类非药品类易制毒化学品生产许可证</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《易制毒化学品管理条例》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省级应急管理部门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1.开展“双随机、一公开”监管，发现违法违规行为要依法严查重处并公开结果。2.加强信用监管，依法向社会公布第一类非药品类易制毒化学品生产企业信用状况，依法依规对失信主体开展失信惩戒。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1678"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328</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第一类非药品类易制毒化学品经营许可证核发</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第一类非药品类易制毒化学品经营许可证</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《易制毒化学品管理条例》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省级应急管理部门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1.开展“双随机、一公开”监管，发现违法违规行为要依法严查重处并公开结果。2.加强信用监管，依法向社会公布第一类非药品类易制毒化学品经营企业信用状况，依法依规对失信主体开展失信惩戒。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1774"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329</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危险化学品生产企业安全生产许可证核发</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安全生产许可证（危险化学品）</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《危险化学品安全管理条例》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省级应急管理部门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1.开展“双随机、一公开”监管，发现违法违规行为要依法严查重处并公开结果。2.加强信用监管，依法向社会公布危险化学品生产企业信用状况，依法依规对失信主体开展失信惩戒。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2094"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330</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危险化学品经营许可证核发</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危险化学品经营许可证</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《危险化学品安全管理条例》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设区的市、县级应急管理部门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1.开展“双随机、一公开”监管，发现违法违规行为要依法严查重处并公开结果。2.加强信用监管，依法向社会公布危险化学品经营企业信用状况，依法依规对失信主体开展失信惩戒。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2086"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331</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危险化学品安全使用许可证核发</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危险化学品安全使用许可证</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《危险化学品安全管理条例》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设区的市级应急管理部门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1.实现申请、审批全程网上办理。2.审批时限按照吉林省政府服务事项要求办理。</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1.开展“双随机、一公开”监管，发现违法违规行为要依法严查重处并公开结果。2.加强信用监管，依法向社会公布危险化学品使用企业信用状况，依法依规对失信主体开展失信惩戒。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2804"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332</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新建、改建、扩建生产、储存危险化学品（包括使用长输管道输送危险化学品）建设项目安全条件审查</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危险化学品建设项目安全条件审查意见书</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《危险化学品安全管理条例》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应急管理部；省、设区的市级应急管理部门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1.实现申请、审批全程网上办理。2.将审批时限由45个工作日压减至30个工作日。</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1.开展“双随机、一公开”监管，发现违法违规行为要依法严查重处并公开结果。2.加强信用监管，依法依规对失信主体开展失信惩戒。</w:t>
            </w:r>
          </w:p>
          <w:p>
            <w:pPr>
              <w:widowControl/>
              <w:spacing w:line="300" w:lineRule="exact"/>
              <w:rPr>
                <w:rFonts w:asciiTheme="minorEastAsia" w:hAnsiTheme="minorEastAsia" w:eastAsiaTheme="minorEastAsia" w:cstheme="minorEastAsia"/>
                <w:color w:val="000000" w:themeColor="text1"/>
                <w:kern w:val="0"/>
                <w:sz w:val="18"/>
                <w:szCs w:val="18"/>
              </w:rPr>
            </w:pP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p>
            <w:pPr>
              <w:widowControl/>
              <w:spacing w:line="300" w:lineRule="exact"/>
              <w:jc w:val="center"/>
              <w:rPr>
                <w:rFonts w:asciiTheme="minorEastAsia" w:hAnsiTheme="minorEastAsia" w:eastAsiaTheme="minorEastAsia" w:cstheme="minorEastAsia"/>
                <w:color w:val="000000" w:themeColor="text1"/>
                <w:kern w:val="0"/>
                <w:sz w:val="18"/>
                <w:szCs w:val="18"/>
              </w:rPr>
            </w:pPr>
          </w:p>
          <w:p>
            <w:pPr>
              <w:widowControl/>
              <w:spacing w:line="300" w:lineRule="exact"/>
              <w:jc w:val="center"/>
              <w:rPr>
                <w:rFonts w:asciiTheme="minorEastAsia" w:hAnsiTheme="minorEastAsia" w:eastAsiaTheme="minorEastAsia" w:cstheme="minorEastAsia"/>
                <w:color w:val="000000" w:themeColor="text1"/>
                <w:kern w:val="0"/>
                <w:sz w:val="18"/>
                <w:szCs w:val="18"/>
              </w:rPr>
            </w:pPr>
          </w:p>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2972" w:hRule="atLeast"/>
          <w:tblHeader/>
        </w:trPr>
        <w:tc>
          <w:tcPr>
            <w:tcW w:w="67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486</w:t>
            </w:r>
          </w:p>
        </w:tc>
        <w:tc>
          <w:tcPr>
            <w:tcW w:w="6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国家矿山安全监察局</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煤矿安全生产许可</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安全生产许可证（煤矿）</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《安全生产许可证条例》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省级煤矿安全监管部门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并在网上公布审批程序、受理条件、办理标准，公开办理进度。2.不再要求申请人提供主要负责人及安全生产管理人员的安全生产知识和管理能力考核合格证复印件、特种作业人员操作资格证复印件等材料。</w:t>
            </w:r>
          </w:p>
        </w:tc>
        <w:tc>
          <w:tcPr>
            <w:tcW w:w="358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按照分级分类监管监察要求，严格按计划实施监管监察执法。2.严格按照安全生产条件对企业申报材料进行审查，对不具备安全生产条件的，不予颁发安全生产许可证。3.加强信用监管，依法依规将存在违法违规失信行为的煤矿企业纳入黑名单，并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r>
        <w:tblPrEx>
          <w:tblCellMar>
            <w:top w:w="0" w:type="dxa"/>
            <w:left w:w="108" w:type="dxa"/>
            <w:bottom w:w="0" w:type="dxa"/>
            <w:right w:w="108" w:type="dxa"/>
          </w:tblCellMar>
        </w:tblPrEx>
        <w:trPr>
          <w:cantSplit/>
          <w:trHeight w:val="1407" w:hRule="atLeast"/>
          <w:tblHeader/>
        </w:trPr>
        <w:tc>
          <w:tcPr>
            <w:tcW w:w="675"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487</w:t>
            </w:r>
          </w:p>
        </w:tc>
        <w:tc>
          <w:tcPr>
            <w:tcW w:w="694"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国家矿山安全监察局</w:t>
            </w:r>
          </w:p>
        </w:tc>
        <w:tc>
          <w:tcPr>
            <w:tcW w:w="120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非煤矿矿山企业安全生产许可</w:t>
            </w:r>
          </w:p>
        </w:tc>
        <w:tc>
          <w:tcPr>
            <w:tcW w:w="11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安全生产许可证（非煤矿山）</w:t>
            </w:r>
          </w:p>
        </w:tc>
        <w:tc>
          <w:tcPr>
            <w:tcW w:w="96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《安全生产许可证条例》</w:t>
            </w:r>
          </w:p>
        </w:tc>
        <w:tc>
          <w:tcPr>
            <w:tcW w:w="99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300" w:lineRule="exact"/>
              <w:jc w:val="lef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省级应急管理部门</w:t>
            </w:r>
          </w:p>
        </w:tc>
        <w:tc>
          <w:tcPr>
            <w:tcW w:w="70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69"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35"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　</w:t>
            </w:r>
          </w:p>
        </w:tc>
        <w:tc>
          <w:tcPr>
            <w:tcW w:w="778"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w:t>
            </w:r>
          </w:p>
        </w:tc>
        <w:tc>
          <w:tcPr>
            <w:tcW w:w="2538"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1.实现申请、审批全程网上办理。2.不再要求地质勘探单位提供地质勘查资质证书复印件，不再要求从事爆破作业的金属非金属矿山、地质勘查和采掘施工单位提供爆破作业单位许可证复印件。</w:t>
            </w:r>
          </w:p>
        </w:tc>
        <w:tc>
          <w:tcPr>
            <w:tcW w:w="3584" w:type="dxa"/>
            <w:tcBorders>
              <w:top w:val="single" w:color="auto" w:sz="4" w:space="0"/>
              <w:left w:val="single" w:color="auto" w:sz="4" w:space="0"/>
              <w:bottom w:val="single" w:color="000000" w:sz="4" w:space="0"/>
              <w:right w:val="single" w:color="auto" w:sz="4" w:space="0"/>
            </w:tcBorders>
            <w:shd w:val="clear" w:color="000000" w:fill="FFFFFF"/>
            <w:vAlign w:val="center"/>
          </w:tcPr>
          <w:p>
            <w:pPr>
              <w:widowControl/>
              <w:spacing w:line="300" w:lineRule="exact"/>
              <w:rPr>
                <w:rFonts w:asciiTheme="minorEastAsia" w:hAnsiTheme="minorEastAsia" w:eastAsiaTheme="minorEastAsia" w:cstheme="minorEastAsia"/>
                <w:color w:val="000000" w:themeColor="text1"/>
                <w:kern w:val="0"/>
                <w:sz w:val="18"/>
                <w:szCs w:val="18"/>
              </w:rPr>
            </w:pPr>
            <w:r>
              <w:rPr>
                <w:rFonts w:hint="eastAsia" w:asciiTheme="minorEastAsia" w:hAnsiTheme="minorEastAsia" w:eastAsiaTheme="minorEastAsia" w:cstheme="minorEastAsia"/>
                <w:color w:val="000000" w:themeColor="text1"/>
                <w:kern w:val="0"/>
                <w:sz w:val="18"/>
                <w:szCs w:val="18"/>
              </w:rPr>
              <w:t>1.开展“双随机、一公开”监管，发现违法违规行为要依法查处并公开结果。2.加强信用监管，依法依规对失信主体开展失信惩戒。</w:t>
            </w:r>
          </w:p>
        </w:tc>
        <w:tc>
          <w:tcPr>
            <w:tcW w:w="3791" w:type="dxa"/>
            <w:vAlign w:val="center"/>
          </w:tcPr>
          <w:p>
            <w:pPr>
              <w:widowControl/>
              <w:spacing w:line="300" w:lineRule="exact"/>
              <w:jc w:val="center"/>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c>
          <w:tcPr>
            <w:tcW w:w="3351" w:type="dxa"/>
            <w:vAlign w:val="center"/>
          </w:tcPr>
          <w:p>
            <w:pPr>
              <w:widowControl/>
              <w:spacing w:line="300" w:lineRule="exact"/>
              <w:rPr>
                <w:rFonts w:asciiTheme="minorEastAsia" w:hAnsiTheme="minorEastAsia" w:eastAsiaTheme="minorEastAsia" w:cstheme="minorEastAsia"/>
                <w:color w:val="000000" w:themeColor="text1"/>
                <w:kern w:val="0"/>
                <w:sz w:val="18"/>
                <w:szCs w:val="18"/>
              </w:rPr>
            </w:pPr>
          </w:p>
        </w:tc>
      </w:tr>
    </w:tbl>
    <w:p>
      <w:pPr>
        <w:rPr>
          <w:color w:val="000000" w:themeColor="text1"/>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166FB"/>
    <w:rsid w:val="000A5CB9"/>
    <w:rsid w:val="00493B21"/>
    <w:rsid w:val="005C3DDA"/>
    <w:rsid w:val="007166FB"/>
    <w:rsid w:val="00877061"/>
    <w:rsid w:val="009C4DD5"/>
    <w:rsid w:val="00A64313"/>
    <w:rsid w:val="00BE6C8A"/>
    <w:rsid w:val="00C96FFE"/>
    <w:rsid w:val="00CA7BA2"/>
    <w:rsid w:val="00CC3331"/>
    <w:rsid w:val="00DC180F"/>
    <w:rsid w:val="00E47849"/>
    <w:rsid w:val="07A30244"/>
    <w:rsid w:val="0B8D72FF"/>
    <w:rsid w:val="19111800"/>
    <w:rsid w:val="22A54557"/>
    <w:rsid w:val="36B7778B"/>
    <w:rsid w:val="37B920B9"/>
    <w:rsid w:val="3CD25121"/>
    <w:rsid w:val="421B25CA"/>
    <w:rsid w:val="4A023D83"/>
    <w:rsid w:val="4B0312DF"/>
    <w:rsid w:val="63470212"/>
    <w:rsid w:val="6D273CC9"/>
    <w:rsid w:val="6DE76D92"/>
    <w:rsid w:val="76867AC1"/>
    <w:rsid w:val="781865EC"/>
    <w:rsid w:val="7E8A49B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cs="Calibri"/>
      <w:kern w:val="2"/>
      <w:sz w:val="18"/>
      <w:szCs w:val="18"/>
    </w:rPr>
  </w:style>
  <w:style w:type="character" w:customStyle="1" w:styleId="7">
    <w:name w:val="页脚 Char"/>
    <w:basedOn w:val="5"/>
    <w:link w:val="2"/>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548</Words>
  <Characters>3125</Characters>
  <Lines>26</Lines>
  <Paragraphs>7</Paragraphs>
  <TotalTime>4</TotalTime>
  <ScaleCrop>false</ScaleCrop>
  <LinksUpToDate>false</LinksUpToDate>
  <CharactersWithSpaces>3666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2021-06-30T01:05:00Z</dcterms:created>
  <dc:creator>杨锋</dc:creator>
  <cp:lastModifiedBy>宇光</cp:lastModifiedBy>
  <dcterms:modified xsi:type="dcterms:W3CDTF">2021-07-01T02:40:06Z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070560D2AF4545B7937FF99880A7ABEB</vt:lpwstr>
  </property>
</Properties>
</file>