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line="560" w:lineRule="exact"/>
        <w:jc w:val="left"/>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eastAsia="zh-CN"/>
        </w:rPr>
        <w:t>附</w:t>
      </w:r>
      <w:r>
        <w:rPr>
          <w:rFonts w:hint="eastAsia" w:ascii="黑体" w:hAnsi="黑体" w:eastAsia="黑体" w:cs="黑体"/>
          <w:bCs/>
          <w:color w:val="auto"/>
          <w:sz w:val="32"/>
          <w:szCs w:val="32"/>
          <w:lang w:eastAsia="zh-CN"/>
        </w:rPr>
        <w:t>件</w:t>
      </w:r>
      <w:r>
        <w:rPr>
          <w:rFonts w:hint="eastAsia" w:ascii="黑体" w:hAnsi="黑体" w:eastAsia="黑体" w:cs="黑体"/>
          <w:bCs/>
          <w:color w:val="auto"/>
          <w:sz w:val="32"/>
          <w:szCs w:val="32"/>
          <w:lang w:val="en-US" w:eastAsia="zh-CN"/>
        </w:rPr>
        <w:t>3</w:t>
      </w:r>
    </w:p>
    <w:p>
      <w:pPr>
        <w:pStyle w:val="8"/>
        <w:keepNext w:val="0"/>
        <w:keepLines w:val="0"/>
        <w:widowControl/>
        <w:suppressLineNumbers w:val="0"/>
        <w:spacing w:line="560" w:lineRule="exact"/>
        <w:jc w:val="center"/>
        <w:rPr>
          <w:rFonts w:hint="default" w:ascii="Times New Roman" w:hAnsi="Times New Roman" w:eastAsia="黑体" w:cs="Times New Roman"/>
          <w:bCs/>
          <w:color w:val="auto"/>
          <w:sz w:val="44"/>
          <w:szCs w:val="44"/>
          <w:lang w:eastAsia="zh-CN"/>
        </w:rPr>
      </w:pPr>
      <w:r>
        <w:rPr>
          <w:rFonts w:hint="eastAsia" w:ascii="Times New Roman" w:hAnsi="Times New Roman" w:eastAsia="黑体" w:cs="Times New Roman"/>
          <w:bCs/>
          <w:color w:val="auto"/>
          <w:sz w:val="44"/>
          <w:szCs w:val="44"/>
          <w:lang w:eastAsia="zh-CN"/>
        </w:rPr>
        <w:t>培训班课程表</w:t>
      </w:r>
    </w:p>
    <w:tbl>
      <w:tblPr>
        <w:tblStyle w:val="4"/>
        <w:tblpPr w:leftFromText="180" w:rightFromText="180" w:vertAnchor="text" w:horzAnchor="page" w:tblpX="2236" w:tblpY="2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040"/>
        <w:gridCol w:w="1951"/>
        <w:gridCol w:w="1599"/>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序号</w:t>
            </w:r>
          </w:p>
        </w:tc>
        <w:tc>
          <w:tcPr>
            <w:tcW w:w="299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时间</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授课人</w:t>
            </w: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12日</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上午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eastAsia" w:ascii="Times New Roman" w:hAnsi="Times New Roman" w:cs="Times New Roman"/>
                <w:bCs/>
                <w:color w:val="auto"/>
                <w:kern w:val="2"/>
                <w:sz w:val="24"/>
                <w:szCs w:val="24"/>
                <w:vertAlign w:val="baseline"/>
                <w:lang w:val="en-US" w:eastAsia="zh-CN" w:bidi="ar"/>
              </w:rPr>
              <w:t>14</w:t>
            </w:r>
            <w:r>
              <w:rPr>
                <w:rFonts w:hint="default" w:ascii="Times New Roman" w:hAnsi="Times New Roman" w:eastAsia="宋体" w:cs="Times New Roman"/>
                <w:bCs/>
                <w:color w:val="auto"/>
                <w:kern w:val="2"/>
                <w:sz w:val="24"/>
                <w:szCs w:val="24"/>
                <w:vertAlign w:val="baseline"/>
                <w:lang w:val="en-US" w:eastAsia="zh-CN" w:bidi="ar"/>
              </w:rPr>
              <w:t>:00</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学员报到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both"/>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2</w:t>
            </w:r>
          </w:p>
        </w:tc>
        <w:tc>
          <w:tcPr>
            <w:tcW w:w="10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13日</w:t>
            </w:r>
          </w:p>
        </w:tc>
        <w:tc>
          <w:tcPr>
            <w:tcW w:w="1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上午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8：30—11:30</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省应急管理厅副厅长、一级巡视员卜庆安讲话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0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王永胜</w:t>
            </w: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真抓实干 全面落实煤矿安全生产主体责任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0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下午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13：30—17:30</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各市（州）、县（市）区应急局吉煤集团及所属矿业集团、及</w:t>
            </w:r>
            <w:r>
              <w:rPr>
                <w:rFonts w:hint="default" w:ascii="Times New Roman" w:hAnsi="Times New Roman" w:eastAsia="宋体" w:cs="Times New Roman"/>
                <w:sz w:val="24"/>
                <w:szCs w:val="24"/>
                <w:lang w:eastAsia="zh-CN"/>
              </w:rPr>
              <w:t>、各重大隐患矿井座谈。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both"/>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3</w:t>
            </w:r>
          </w:p>
        </w:tc>
        <w:tc>
          <w:tcPr>
            <w:tcW w:w="10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14日</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上午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8：30—11:30</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王建明</w:t>
            </w: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深刻吸取事故教训 提高煤矿现场管理水平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0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下午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13：30—17:30</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王建明</w:t>
            </w: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深刻吸取事故教训 提高煤矿现场管理水平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both"/>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4</w:t>
            </w:r>
          </w:p>
        </w:tc>
        <w:tc>
          <w:tcPr>
            <w:tcW w:w="10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15日</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上午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8：30—11:30</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魏忠源</w:t>
            </w: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cs="Times New Roman"/>
                <w:bCs/>
                <w:color w:val="auto"/>
                <w:kern w:val="2"/>
                <w:sz w:val="24"/>
                <w:szCs w:val="24"/>
                <w:vertAlign w:val="baseline"/>
                <w:lang w:val="en-US" w:eastAsia="zh-CN" w:bidi="ar"/>
              </w:rPr>
              <w:t>剖析典型事故案例 强化安全防范措施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0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下午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13：30—17:30</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 xml:space="preserve"> 王炎军</w:t>
            </w: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煤矿安全生产隐患排查治理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5</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16日</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上午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9:00</w:t>
            </w:r>
          </w:p>
        </w:tc>
        <w:tc>
          <w:tcPr>
            <w:tcW w:w="15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color w:val="auto"/>
                <w:kern w:val="2"/>
                <w:sz w:val="24"/>
                <w:szCs w:val="24"/>
                <w:vertAlign w:val="baseline"/>
                <w:lang w:val="en-US" w:eastAsia="zh-CN" w:bidi="ar"/>
              </w:rPr>
            </w:pPr>
          </w:p>
        </w:tc>
        <w:tc>
          <w:tcPr>
            <w:tcW w:w="73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bCs/>
                <w:color w:val="auto"/>
                <w:kern w:val="2"/>
                <w:sz w:val="24"/>
                <w:szCs w:val="24"/>
                <w:vertAlign w:val="baseline"/>
                <w:lang w:val="en-US" w:eastAsia="zh-CN" w:bidi="ar"/>
              </w:rPr>
            </w:pPr>
            <w:r>
              <w:rPr>
                <w:rFonts w:hint="default" w:ascii="Times New Roman" w:hAnsi="Times New Roman" w:eastAsia="宋体" w:cs="Times New Roman"/>
                <w:bCs/>
                <w:color w:val="auto"/>
                <w:kern w:val="2"/>
                <w:sz w:val="24"/>
                <w:szCs w:val="24"/>
                <w:vertAlign w:val="baseline"/>
                <w:lang w:val="en-US" w:eastAsia="zh-CN" w:bidi="ar"/>
              </w:rPr>
              <w:t>培训结束，学员返程。</w:t>
            </w:r>
          </w:p>
        </w:tc>
      </w:tr>
    </w:tbl>
    <w:p>
      <w:pPr>
        <w:spacing w:line="560" w:lineRule="exact"/>
      </w:pPr>
      <w:bookmarkStart w:id="0" w:name="_GoBack"/>
      <w:bookmarkEnd w:id="0"/>
    </w:p>
    <w:sectPr>
      <w:pgSz w:w="16838" w:h="11906" w:orient="landscape"/>
      <w:pgMar w:top="1588" w:right="2098" w:bottom="1588" w:left="2154"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374C4"/>
    <w:rsid w:val="3D23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none"/>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黑体"/>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2020-09-30T06:58:00Z</dcterms:created>
  <dc:creator>李娜</dc:creator>
  <cp:lastModifiedBy>李娜</cp:lastModifiedBy>
  <dcterms:modified xsi:type="dcterms:W3CDTF">2020-09-30T06:59:23Z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